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2744" w:val="clear"/>
            <w:tcMar>
              <w:top w:type="dxa" w:w="160"/>
              <w:left w:type="dxa" w:w="220"/>
              <w:bottom w:type="dxa" w:w="160"/>
              <w:right w:type="dxa" w:w="220"/>
            </w:tcMar>
          </w:tcPr>
          <w:p>
            <w:pPr>
              <w:spacing w:after="0" w:before="0"/>
            </w:pPr>
            <w:r>
              <w:rPr>
                <w:rFonts w:ascii="Arial" w:cs="Arial" w:eastAsia="Arial" w:hAnsi="Arial"/>
                <w:b w:val="false"/>
                <w:bCs w:val="false"/>
                <w:i w:val="false"/>
                <w:iCs w:val="false"/>
                <w:color w:val="FFFFFF"/>
                <w:sz w:val="15"/>
                <w:szCs w:val="15"/>
              </w:rPr>
              <w:t xml:space="preserve">FREE RESOURCE  |  AIFORREAL COMPANIES.COM</w:t>
            </w:r>
          </w:p>
          <w:p>
            <w:pPr>
              <w:spacing w:after="0" w:before="60"/>
            </w:pPr>
            <w:r>
              <w:rPr>
                <w:rFonts w:ascii="Arial" w:cs="Arial" w:eastAsia="Arial" w:hAnsi="Arial"/>
                <w:b/>
                <w:bCs/>
                <w:i w:val="false"/>
                <w:iCs w:val="false"/>
                <w:color w:val="FFFFFF"/>
                <w:sz w:val="36"/>
                <w:szCs w:val="36"/>
              </w:rPr>
              <w:t xml:space="preserve">AI Risk &amp; Reality Checklist</w:t>
            </w:r>
          </w:p>
          <w:p>
            <w:pPr>
              <w:spacing w:after="0" w:before="60"/>
            </w:pPr>
            <w:r>
              <w:rPr>
                <w:rFonts w:ascii="Arial" w:cs="Arial" w:eastAsia="Arial" w:hAnsi="Arial"/>
                <w:b w:val="false"/>
                <w:bCs w:val="false"/>
                <w:i w:val="false"/>
                <w:iCs w:val="false"/>
                <w:color w:val="FFFFFF"/>
                <w:sz w:val="20"/>
                <w:szCs w:val="20"/>
              </w:rPr>
              <w:t xml:space="preserve">Cut through the hype. Think like a business owner, not a tech blogger.</w:t>
            </w:r>
          </w:p>
          <w:p>
            <w:pPr>
              <w:spacing w:after="0" w:before="60"/>
            </w:pPr>
            <w:r>
              <w:rPr>
                <w:rFonts w:ascii="Arial" w:cs="Arial" w:eastAsia="Arial" w:hAnsi="Arial"/>
                <w:b w:val="false"/>
                <w:bCs w:val="false"/>
                <w:i/>
                <w:iCs/>
                <w:color w:val="FFFFFF"/>
                <w:sz w:val="17"/>
                <w:szCs w:val="17"/>
              </w:rPr>
              <w:t xml:space="preserve">The most dangerous position in 2025 is not moving too fast — it is moving without thinking.</w:t>
            </w:r>
          </w:p>
        </w:tc>
      </w:tr>
    </w:tbl>
    <w:p>
      <w:pPr>
        <w:spacing w:after="0" w:before="1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60"/>
              <w:left w:type="dxa" w:w="220"/>
              <w:bottom w:type="dxa" w:w="160"/>
              <w:right w:type="dxa" w:w="220"/>
            </w:tcMar>
          </w:tcPr>
          <w:p>
            <w:pPr>
              <w:spacing w:after="0" w:before="0"/>
            </w:pPr>
            <w:r>
              <w:rPr>
                <w:rFonts w:ascii="Arial" w:cs="Arial" w:eastAsia="Arial" w:hAnsi="Arial"/>
                <w:b w:val="false"/>
                <w:bCs w:val="false"/>
                <w:i/>
                <w:iCs/>
                <w:color w:val="888888"/>
                <w:sz w:val="17"/>
                <w:szCs w:val="17"/>
              </w:rPr>
              <w:t xml:space="preserve">From AI for Real Companies by Deb Weidenhamer  |  AIforRealCompanies.com  |  AI Business Advisory Institute</w:t>
            </w:r>
          </w:p>
        </w:tc>
      </w:tr>
    </w:tbl>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0F0" w:val="clear"/>
            <w:tcMar>
              <w:top w:type="dxa" w:w="160"/>
              <w:left w:type="dxa" w:w="220"/>
              <w:bottom w:type="dxa" w:w="160"/>
              <w:right w:type="dxa" w:w="220"/>
            </w:tcMar>
          </w:tcPr>
          <w:p>
            <w:pPr>
              <w:spacing w:after="0" w:before="0"/>
            </w:pPr>
            <w:r>
              <w:rPr>
                <w:rFonts w:ascii="Arial" w:cs="Arial" w:eastAsia="Arial" w:hAnsi="Arial"/>
                <w:b/>
                <w:bCs/>
                <w:i w:val="false"/>
                <w:iCs w:val="false"/>
                <w:color w:val="1A2744"/>
                <w:sz w:val="20"/>
                <w:szCs w:val="20"/>
              </w:rPr>
              <w:t xml:space="preserve">Why this checklist matters</w:t>
            </w:r>
          </w:p>
          <w:p>
            <w:pPr>
              <w:spacing w:after="0" w:before="60"/>
            </w:pPr>
            <w:r>
              <w:rPr>
                <w:rFonts w:ascii="Arial" w:cs="Arial" w:eastAsia="Arial" w:hAnsi="Arial"/>
                <w:b w:val="false"/>
                <w:bCs w:val="false"/>
                <w:i w:val="false"/>
                <w:iCs w:val="false"/>
                <w:color w:val="1A2744"/>
                <w:sz w:val="19"/>
                <w:szCs w:val="19"/>
              </w:rPr>
              <w:t xml:space="preserve">The AI conversation is dominated by enthusiasm — and that enthusiasm creates real risk for real businesses. Moving too fast, automating the wrong things, or skipping governance can cause expensive, embarrassing, or legally significant mistakes. This checklist helps you think clearly before you act.</w:t>
            </w:r>
          </w:p>
          <w:p>
            <w:pPr>
              <w:spacing w:after="0" w:before="60"/>
            </w:pPr>
            <w:r>
              <w:rPr>
                <w:rFonts w:ascii="Arial" w:cs="Arial" w:eastAsia="Arial" w:hAnsi="Arial"/>
                <w:b w:val="false"/>
                <w:bCs w:val="false"/>
                <w:i/>
                <w:iCs/>
                <w:color w:val="1A2744"/>
                <w:sz w:val="18"/>
                <w:szCs w:val="18"/>
              </w:rPr>
              <w:t xml:space="preserve">This is not meant to slow you down. It is meant to make sure that when you move fast, you move smart.</w:t>
            </w:r>
          </w:p>
        </w:tc>
      </w:tr>
    </w:tbl>
    <w:p>
      <w:pPr>
        <w:spacing w:after="0" w:before="1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1A2744"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1</w:t>
            </w:r>
          </w:p>
        </w:tc>
        <w:tc>
          <w:tcPr>
            <w:tcW w:type="dxa" w:w="8480"/>
            <w:tcBorders>
              <w:top w:val="none" w:color="FFFFFF" w:sz="0"/>
              <w:left w:val="none" w:color="FFFFFF" w:sz="0"/>
              <w:bottom w:val="none" w:color="FFFFFF" w:sz="0"/>
              <w:right w:val="none" w:color="FFFFFF" w:sz="0"/>
            </w:tcBorders>
            <w:shd w:fill="1A2744"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Where AI can go wrong</w:t>
            </w:r>
          </w:p>
          <w:p>
            <w:pPr>
              <w:spacing w:after="0" w:before="0"/>
            </w:pPr>
            <w:r>
              <w:rPr>
                <w:rFonts w:ascii="Arial" w:cs="Arial" w:eastAsia="Arial" w:hAnsi="Arial"/>
                <w:b w:val="false"/>
                <w:bCs w:val="false"/>
                <w:i/>
                <w:iCs/>
                <w:color w:val="FFFFFF"/>
                <w:sz w:val="18"/>
                <w:szCs w:val="18"/>
              </w:rPr>
              <w:t xml:space="preserve">Risks every business owner must understand before deploying</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Hallucination risk — </w:t>
      </w:r>
      <w:r>
        <w:rPr>
          <w:rFonts w:ascii="Arial" w:cs="Arial" w:eastAsia="Arial" w:hAnsi="Arial"/>
          <w:b w:val="false"/>
          <w:bCs w:val="false"/>
          <w:i w:val="false"/>
          <w:iCs w:val="false"/>
          <w:color w:val="444444"/>
          <w:sz w:val="21"/>
          <w:szCs w:val="21"/>
        </w:rPr>
        <w:t xml:space="preserve">AI generates confident-sounding text that is factually wrong. Never use AI output in customer communications, legal documents, or financial statements without human review.</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Training data bias — </w:t>
      </w:r>
      <w:r>
        <w:rPr>
          <w:rFonts w:ascii="Arial" w:cs="Arial" w:eastAsia="Arial" w:hAnsi="Arial"/>
          <w:b w:val="false"/>
          <w:bCs w:val="false"/>
          <w:i w:val="false"/>
          <w:iCs w:val="false"/>
          <w:color w:val="444444"/>
          <w:sz w:val="21"/>
          <w:szCs w:val="21"/>
        </w:rPr>
        <w:t xml:space="preserve">AI learns from your data. If your historical data reflects bias in hiring, pricing, or service, the AI will replicate and amplify it.</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Over-reliance — </w:t>
      </w:r>
      <w:r>
        <w:rPr>
          <w:rFonts w:ascii="Arial" w:cs="Arial" w:eastAsia="Arial" w:hAnsi="Arial"/>
          <w:b w:val="false"/>
          <w:bCs w:val="false"/>
          <w:i w:val="false"/>
          <w:iCs w:val="false"/>
          <w:color w:val="444444"/>
          <w:sz w:val="21"/>
          <w:szCs w:val="21"/>
        </w:rPr>
        <w:t xml:space="preserve">Teams that trust AI outputs without verification develop a dangerous dependency. Build critical review into every AI-assisted workflow.</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Context blindness — </w:t>
      </w:r>
      <w:r>
        <w:rPr>
          <w:rFonts w:ascii="Arial" w:cs="Arial" w:eastAsia="Arial" w:hAnsi="Arial"/>
          <w:b w:val="false"/>
          <w:bCs w:val="false"/>
          <w:i w:val="false"/>
          <w:iCs w:val="false"/>
          <w:color w:val="444444"/>
          <w:sz w:val="21"/>
          <w:szCs w:val="21"/>
        </w:rPr>
        <w:t xml:space="preserve">AI does not understand your business context, your customer relationships, or your industry nuances. It produces output based on patterns, not judgment.</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Security exposure — </w:t>
      </w:r>
      <w:r>
        <w:rPr>
          <w:rFonts w:ascii="Arial" w:cs="Arial" w:eastAsia="Arial" w:hAnsi="Arial"/>
          <w:b w:val="false"/>
          <w:bCs w:val="false"/>
          <w:i w:val="false"/>
          <w:iCs w:val="false"/>
          <w:color w:val="444444"/>
          <w:sz w:val="21"/>
          <w:szCs w:val="21"/>
        </w:rPr>
        <w:t xml:space="preserve">Sending sensitive business data to AI tools — especially consumer-grade ones — may expose it to retention, training, or breach. Read the terms of service before use.</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Vendor lock-in — </w:t>
      </w:r>
      <w:r>
        <w:rPr>
          <w:rFonts w:ascii="Arial" w:cs="Arial" w:eastAsia="Arial" w:hAnsi="Arial"/>
          <w:b w:val="false"/>
          <w:bCs w:val="false"/>
          <w:i w:val="false"/>
          <w:iCs w:val="false"/>
          <w:color w:val="444444"/>
          <w:sz w:val="21"/>
          <w:szCs w:val="21"/>
        </w:rPr>
        <w:t xml:space="preserve">Building critical workflows around a single AI vendor creates fragility. Have a contingency plan if the tool changes pricing, features, or disappears.</w:t>
      </w:r>
    </w:p>
    <w:p>
      <w:pPr>
        <w:spacing w:after="0" w:before="1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6B3FA0"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2</w:t>
            </w:r>
          </w:p>
        </w:tc>
        <w:tc>
          <w:tcPr>
            <w:tcW w:type="dxa" w:w="8480"/>
            <w:tcBorders>
              <w:top w:val="none" w:color="FFFFFF" w:sz="0"/>
              <w:left w:val="none" w:color="FFFFFF" w:sz="0"/>
              <w:bottom w:val="none" w:color="FFFFFF" w:sz="0"/>
              <w:right w:val="none" w:color="FFFFFF" w:sz="0"/>
            </w:tcBorders>
            <w:shd w:fill="6B3FA0"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What NOT to automate</w:t>
            </w:r>
          </w:p>
          <w:p>
            <w:pPr>
              <w:spacing w:after="0" w:before="0"/>
            </w:pPr>
            <w:r>
              <w:rPr>
                <w:rFonts w:ascii="Arial" w:cs="Arial" w:eastAsia="Arial" w:hAnsi="Arial"/>
                <w:b w:val="false"/>
                <w:bCs w:val="false"/>
                <w:i/>
                <w:iCs/>
                <w:color w:val="FFFFFF"/>
                <w:sz w:val="18"/>
                <w:szCs w:val="18"/>
              </w:rPr>
              <w:t xml:space="preserve">Some decisions and interactions should stay human</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Your most important client relationships — </w:t>
      </w:r>
      <w:r>
        <w:rPr>
          <w:rFonts w:ascii="Arial" w:cs="Arial" w:eastAsia="Arial" w:hAnsi="Arial"/>
          <w:b w:val="false"/>
          <w:bCs w:val="false"/>
          <w:i w:val="false"/>
          <w:iCs w:val="false"/>
          <w:color w:val="444444"/>
          <w:sz w:val="21"/>
          <w:szCs w:val="21"/>
        </w:rPr>
        <w:t xml:space="preserve">Your top 10-20% of clients deserve to hear from a human being. Automating outreach to your highest-value relationships is a false economy.</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Disciplinary and HR decisions — </w:t>
      </w:r>
      <w:r>
        <w:rPr>
          <w:rFonts w:ascii="Arial" w:cs="Arial" w:eastAsia="Arial" w:hAnsi="Arial"/>
          <w:b w:val="false"/>
          <w:bCs w:val="false"/>
          <w:i w:val="false"/>
          <w:iCs w:val="false"/>
          <w:color w:val="444444"/>
          <w:sz w:val="21"/>
          <w:szCs w:val="21"/>
        </w:rPr>
        <w:t xml:space="preserve">Performance reviews, terminations, and conflict resolution require human judgment, emotional intelligence, and legal awareness. Full stop.</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Crisis communications — </w:t>
      </w:r>
      <w:r>
        <w:rPr>
          <w:rFonts w:ascii="Arial" w:cs="Arial" w:eastAsia="Arial" w:hAnsi="Arial"/>
          <w:b w:val="false"/>
          <w:bCs w:val="false"/>
          <w:i w:val="false"/>
          <w:iCs w:val="false"/>
          <w:color w:val="444444"/>
          <w:sz w:val="21"/>
          <w:szCs w:val="21"/>
        </w:rPr>
        <w:t xml:space="preserve">When something goes wrong, the response must be human-led. AI cannot manage nuance, accountability, or genuine empathy in a crisis.</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Complex customer complaints — </w:t>
      </w:r>
      <w:r>
        <w:rPr>
          <w:rFonts w:ascii="Arial" w:cs="Arial" w:eastAsia="Arial" w:hAnsi="Arial"/>
          <w:b w:val="false"/>
          <w:bCs w:val="false"/>
          <w:i w:val="false"/>
          <w:iCs w:val="false"/>
          <w:color w:val="444444"/>
          <w:sz w:val="21"/>
          <w:szCs w:val="21"/>
        </w:rPr>
        <w:t xml:space="preserve">Angry customers want to feel heard by a person. AI-handled escalations in emotionally charged situations almost always make things worse.</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Strategic decisions — </w:t>
      </w:r>
      <w:r>
        <w:rPr>
          <w:rFonts w:ascii="Arial" w:cs="Arial" w:eastAsia="Arial" w:hAnsi="Arial"/>
          <w:b w:val="false"/>
          <w:bCs w:val="false"/>
          <w:i w:val="false"/>
          <w:iCs w:val="false"/>
          <w:color w:val="444444"/>
          <w:sz w:val="21"/>
          <w:szCs w:val="21"/>
        </w:rPr>
        <w:t xml:space="preserve">AI can inform strategy with data, but the decision itself — especially those with significant financial, ethical, or reputational stakes — belongs with leadership.</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Anything with regulatory liability — </w:t>
      </w:r>
      <w:r>
        <w:rPr>
          <w:rFonts w:ascii="Arial" w:cs="Arial" w:eastAsia="Arial" w:hAnsi="Arial"/>
          <w:b w:val="false"/>
          <w:bCs w:val="false"/>
          <w:i w:val="false"/>
          <w:iCs w:val="false"/>
          <w:color w:val="444444"/>
          <w:sz w:val="21"/>
          <w:szCs w:val="21"/>
        </w:rPr>
        <w:t xml:space="preserve">In healthcare, finance, legal, and other regulated industries, specific activities carry legal and liability frameworks that AI does not understand.</w:t>
      </w:r>
    </w:p>
    <w:p>
      <w:pPr>
        <w:spacing w:after="0" w:before="1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0F6E56"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3</w:t>
            </w:r>
          </w:p>
        </w:tc>
        <w:tc>
          <w:tcPr>
            <w:tcW w:type="dxa" w:w="8480"/>
            <w:tcBorders>
              <w:top w:val="none" w:color="FFFFFF" w:sz="0"/>
              <w:left w:val="none" w:color="FFFFFF" w:sz="0"/>
              <w:bottom w:val="none" w:color="FFFFFF" w:sz="0"/>
              <w:right w:val="none" w:color="FFFFFF" w:sz="0"/>
            </w:tcBorders>
            <w:shd w:fill="0F6E56"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Where human judgment matters most</w:t>
            </w:r>
          </w:p>
          <w:p>
            <w:pPr>
              <w:spacing w:after="0" w:before="0"/>
            </w:pPr>
            <w:r>
              <w:rPr>
                <w:rFonts w:ascii="Arial" w:cs="Arial" w:eastAsia="Arial" w:hAnsi="Arial"/>
                <w:b w:val="false"/>
                <w:bCs w:val="false"/>
                <w:i/>
                <w:iCs/>
                <w:color w:val="FFFFFF"/>
                <w:sz w:val="18"/>
                <w:szCs w:val="18"/>
              </w:rPr>
              <w:t xml:space="preserve">The irreplaceable human role in an AI-assisted business</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Setting values and standards — </w:t>
      </w:r>
      <w:r>
        <w:rPr>
          <w:rFonts w:ascii="Arial" w:cs="Arial" w:eastAsia="Arial" w:hAnsi="Arial"/>
          <w:b w:val="false"/>
          <w:bCs w:val="false"/>
          <w:i w:val="false"/>
          <w:iCs w:val="false"/>
          <w:color w:val="444444"/>
          <w:sz w:val="21"/>
          <w:szCs w:val="21"/>
        </w:rPr>
        <w:t xml:space="preserve">AI operates within the parameters you set. Defining what is acceptable — in tone, quality, and ethics — is always a human responsibility.</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Interpreting ambiguous situations — </w:t>
      </w:r>
      <w:r>
        <w:rPr>
          <w:rFonts w:ascii="Arial" w:cs="Arial" w:eastAsia="Arial" w:hAnsi="Arial"/>
          <w:b w:val="false"/>
          <w:bCs w:val="false"/>
          <w:i w:val="false"/>
          <w:iCs w:val="false"/>
          <w:color w:val="444444"/>
          <w:sz w:val="21"/>
          <w:szCs w:val="21"/>
        </w:rPr>
        <w:t xml:space="preserve">The most important business moments are rarely clear-cut. Judgment in the gray areas remains a distinctly human skill.</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Building trust with customers — </w:t>
      </w:r>
      <w:r>
        <w:rPr>
          <w:rFonts w:ascii="Arial" w:cs="Arial" w:eastAsia="Arial" w:hAnsi="Arial"/>
          <w:b w:val="false"/>
          <w:bCs w:val="false"/>
          <w:i w:val="false"/>
          <w:iCs w:val="false"/>
          <w:color w:val="444444"/>
          <w:sz w:val="21"/>
          <w:szCs w:val="21"/>
        </w:rPr>
        <w:t xml:space="preserve">Trust is built through consistent, authentic human interactions over time. AI can support the relationship — it cannot be the relationship.</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Accountability and ownership — </w:t>
      </w:r>
      <w:r>
        <w:rPr>
          <w:rFonts w:ascii="Arial" w:cs="Arial" w:eastAsia="Arial" w:hAnsi="Arial"/>
          <w:b w:val="false"/>
          <w:bCs w:val="false"/>
          <w:i w:val="false"/>
          <w:iCs w:val="false"/>
          <w:color w:val="444444"/>
          <w:sz w:val="21"/>
          <w:szCs w:val="21"/>
        </w:rPr>
        <w:t xml:space="preserve">When AI makes a mistake, a human being is still responsible. Maintain clear ownership of every AI-assisted output.</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Culture — </w:t>
      </w:r>
      <w:r>
        <w:rPr>
          <w:rFonts w:ascii="Arial" w:cs="Arial" w:eastAsia="Arial" w:hAnsi="Arial"/>
          <w:b w:val="false"/>
          <w:bCs w:val="false"/>
          <w:i w:val="false"/>
          <w:iCs w:val="false"/>
          <w:color w:val="444444"/>
          <w:sz w:val="21"/>
          <w:szCs w:val="21"/>
        </w:rPr>
        <w:t xml:space="preserve">Your company culture cannot be delegated to software. It is built by people, in how they treat each other and their customers every day.</w:t>
      </w:r>
    </w:p>
    <w:p>
      <w:pPr>
        <w:spacing w:after="0" w:before="1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BA7517"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4</w:t>
            </w:r>
          </w:p>
        </w:tc>
        <w:tc>
          <w:tcPr>
            <w:tcW w:type="dxa" w:w="8480"/>
            <w:tcBorders>
              <w:top w:val="none" w:color="FFFFFF" w:sz="0"/>
              <w:left w:val="none" w:color="FFFFFF" w:sz="0"/>
              <w:bottom w:val="none" w:color="FFFFFF" w:sz="0"/>
              <w:right w:val="none" w:color="FFFFFF" w:sz="0"/>
            </w:tcBorders>
            <w:shd w:fill="BA7517"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Data &amp; privacy must-dos</w:t>
            </w:r>
          </w:p>
          <w:p>
            <w:pPr>
              <w:spacing w:after="0" w:before="0"/>
            </w:pPr>
            <w:r>
              <w:rPr>
                <w:rFonts w:ascii="Arial" w:cs="Arial" w:eastAsia="Arial" w:hAnsi="Arial"/>
                <w:b w:val="false"/>
                <w:bCs w:val="false"/>
                <w:i/>
                <w:iCs/>
                <w:color w:val="FFFFFF"/>
                <w:sz w:val="18"/>
                <w:szCs w:val="18"/>
              </w:rPr>
              <w:t xml:space="preserve">What you must address before going live with AI</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Know exactly what data you are feeding it — </w:t>
      </w:r>
      <w:r>
        <w:rPr>
          <w:rFonts w:ascii="Arial" w:cs="Arial" w:eastAsia="Arial" w:hAnsi="Arial"/>
          <w:b w:val="false"/>
          <w:bCs w:val="false"/>
          <w:i w:val="false"/>
          <w:iCs w:val="false"/>
          <w:color w:val="444444"/>
          <w:sz w:val="21"/>
          <w:szCs w:val="21"/>
        </w:rPr>
        <w:t xml:space="preserve">Before using any AI tool, document what data is being processed: customer PII, financial records, health information, proprietary business data.</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Read the terms of service — </w:t>
      </w:r>
      <w:r>
        <w:rPr>
          <w:rFonts w:ascii="Arial" w:cs="Arial" w:eastAsia="Arial" w:hAnsi="Arial"/>
          <w:b w:val="false"/>
          <w:bCs w:val="false"/>
          <w:i w:val="false"/>
          <w:iCs w:val="false"/>
          <w:color w:val="444444"/>
          <w:sz w:val="21"/>
          <w:szCs w:val="21"/>
        </w:rPr>
        <w:t xml:space="preserve">Most consumer-grade AI tools retain data and may train on what you submit. Enterprise versions with data processing agreements (DPAs) are required for sensitive business use.</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Map your compliance obligations — </w:t>
      </w:r>
      <w:r>
        <w:rPr>
          <w:rFonts w:ascii="Arial" w:cs="Arial" w:eastAsia="Arial" w:hAnsi="Arial"/>
          <w:b w:val="false"/>
          <w:bCs w:val="false"/>
          <w:i w:val="false"/>
          <w:iCs w:val="false"/>
          <w:color w:val="444444"/>
          <w:sz w:val="21"/>
          <w:szCs w:val="21"/>
        </w:rPr>
        <w:t xml:space="preserve">If you operate in a regulated industry or handle customer data from the EU, California, or healthcare, you have specific obligations. Know them before you deploy.</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Create a simple data classification policy — </w:t>
      </w:r>
      <w:r>
        <w:rPr>
          <w:rFonts w:ascii="Arial" w:cs="Arial" w:eastAsia="Arial" w:hAnsi="Arial"/>
          <w:b w:val="false"/>
          <w:bCs w:val="false"/>
          <w:i w:val="false"/>
          <w:iCs w:val="false"/>
          <w:color w:val="444444"/>
          <w:sz w:val="21"/>
          <w:szCs w:val="21"/>
        </w:rPr>
        <w:t xml:space="preserve">Not all data should go into AI tools. Categories: Public, Internal, Confidential, Restricted. Define which AI tools, if any, may access each category.</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Have an incident response plan — </w:t>
      </w:r>
      <w:r>
        <w:rPr>
          <w:rFonts w:ascii="Arial" w:cs="Arial" w:eastAsia="Arial" w:hAnsi="Arial"/>
          <w:b w:val="false"/>
          <w:bCs w:val="false"/>
          <w:i w:val="false"/>
          <w:iCs w:val="false"/>
          <w:color w:val="444444"/>
          <w:sz w:val="21"/>
          <w:szCs w:val="21"/>
        </w:rPr>
        <w:t xml:space="preserve">What happens if an AI tool exposes or misuses customer data? Your customers and potentially regulators will ask. Have an answer before it happens.</w:t>
      </w:r>
    </w:p>
    <w:p>
      <w:pPr>
        <w:spacing w:after="60" w:before="100"/>
        <w:ind w:left="180"/>
        <w:jc w:val="left"/>
      </w:pPr>
      <w:r>
        <w:rPr>
          <w:rFonts w:ascii="Arial" w:cs="Arial" w:eastAsia="Arial" w:hAnsi="Arial"/>
          <w:b w:val="false"/>
          <w:bCs w:val="false"/>
          <w:i w:val="false"/>
          <w:iCs w:val="false"/>
          <w:color w:val="6B3FA0"/>
          <w:sz w:val="22"/>
          <w:szCs w:val="22"/>
        </w:rPr>
        <w:t xml:space="preserve">☐  </w:t>
      </w:r>
      <w:r>
        <w:rPr>
          <w:rFonts w:ascii="Arial" w:cs="Arial" w:eastAsia="Arial" w:hAnsi="Arial"/>
          <w:b/>
          <w:bCs/>
          <w:i w:val="false"/>
          <w:iCs w:val="false"/>
          <w:color w:val="1A2744"/>
          <w:sz w:val="21"/>
          <w:szCs w:val="21"/>
        </w:rPr>
        <w:t xml:space="preserve">Include AI vendors in security due diligence — </w:t>
      </w:r>
      <w:r>
        <w:rPr>
          <w:rFonts w:ascii="Arial" w:cs="Arial" w:eastAsia="Arial" w:hAnsi="Arial"/>
          <w:b w:val="false"/>
          <w:bCs w:val="false"/>
          <w:i w:val="false"/>
          <w:iCs w:val="false"/>
          <w:color w:val="444444"/>
          <w:sz w:val="21"/>
          <w:szCs w:val="21"/>
        </w:rPr>
        <w:t xml:space="preserve">Any AI vendor handling your data should go through the same security review as any SaaS vendor: SOC 2 compliance, data residency, breach notification policies.</w:t>
      </w:r>
    </w:p>
    <w:p>
      <w:pPr>
        <w:spacing w:after="0" w:before="240"/>
        <w:jc w:val="left"/>
      </w:pPr>
      <w:r>
        <w:rPr>
          <w:rFonts w:ascii="Arial" w:cs="Arial" w:eastAsia="Arial" w:hAnsi="Arial"/>
          <w:b w:val="false"/>
          <w:bCs w:val="false"/>
          <w:i w:val="false"/>
          <w:iCs w:val="false"/>
          <w:color w:val="444444"/>
          <w:sz w:val="22"/>
          <w:szCs w:val="22"/>
        </w:rPr>
        <w:t xml:space="preserve"/>
      </w:r>
    </w:p>
    <w:p>
      <w:pPr>
        <w:pBdr>
          <w:bottom w:val="single" w:color="1A2744" w:sz="4" w:space="1"/>
        </w:pBdr>
        <w:spacing w:after="160" w:before="160"/>
      </w:pPr>
    </w:p>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2744" w:val="clear"/>
            <w:tcMar>
              <w:top w:type="dxa" w:w="160"/>
              <w:left w:type="dxa" w:w="220"/>
              <w:bottom w:type="dxa" w:w="160"/>
              <w:right w:type="dxa" w:w="220"/>
            </w:tcMar>
          </w:tcPr>
          <w:p>
            <w:pPr>
              <w:spacing w:after="0" w:before="0"/>
            </w:pPr>
            <w:r>
              <w:rPr>
                <w:rFonts w:ascii="Arial" w:cs="Arial" w:eastAsia="Arial" w:hAnsi="Arial"/>
                <w:b/>
                <w:bCs/>
                <w:i w:val="false"/>
                <w:iCs w:val="false"/>
                <w:color w:val="FFFFFF"/>
                <w:sz w:val="22"/>
                <w:szCs w:val="22"/>
              </w:rPr>
              <w:t xml:space="preserve">The bottom line</w:t>
            </w:r>
          </w:p>
          <w:p>
            <w:pPr>
              <w:spacing w:after="0" w:before="60"/>
            </w:pPr>
            <w:r>
              <w:rPr>
                <w:rFonts w:ascii="Arial" w:cs="Arial" w:eastAsia="Arial" w:hAnsi="Arial"/>
                <w:b w:val="false"/>
                <w:bCs w:val="false"/>
                <w:i w:val="false"/>
                <w:iCs w:val="false"/>
                <w:color w:val="FFFFFF"/>
                <w:sz w:val="19"/>
                <w:szCs w:val="19"/>
              </w:rPr>
              <w:t xml:space="preserve">The goal is not to avoid AI. It is to use it intelligently. The businesses that win with AI combine enthusiasm with governance. Every item on this checklist is something you can address before you deploy — not after something goes wrong.</w:t>
            </w:r>
          </w:p>
        </w:tc>
      </w:tr>
    </w:tbl>
    <w:p>
      <w:pPr>
        <w:spacing w:after="0" w:before="1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9FB" w:val="clear"/>
            <w:tcMar>
              <w:top w:type="dxa" w:w="160"/>
              <w:left w:type="dxa" w:w="220"/>
              <w:bottom w:type="dxa" w:w="160"/>
              <w:right w:type="dxa" w:w="220"/>
            </w:tcMar>
          </w:tcPr>
          <w:p>
            <w:pPr>
              <w:spacing w:after="0" w:before="0"/>
            </w:pPr>
            <w:r>
              <w:rPr>
                <w:rFonts w:ascii="Arial" w:cs="Arial" w:eastAsia="Arial" w:hAnsi="Arial"/>
                <w:b/>
                <w:bCs/>
                <w:i w:val="false"/>
                <w:iCs w:val="false"/>
                <w:color w:val="1A2744"/>
                <w:sz w:val="22"/>
                <w:szCs w:val="22"/>
              </w:rPr>
              <w:t xml:space="preserve">What's next?</w:t>
            </w:r>
          </w:p>
          <w:p>
            <w:pPr>
              <w:spacing w:after="0" w:before="60"/>
            </w:pPr>
            <w:r>
              <w:rPr>
                <w:rFonts w:ascii="Arial" w:cs="Arial" w:eastAsia="Arial" w:hAnsi="Arial"/>
                <w:b w:val="false"/>
                <w:bCs w:val="false"/>
                <w:i w:val="false"/>
                <w:iCs w:val="false"/>
                <w:color w:val="1A2744"/>
                <w:sz w:val="19"/>
                <w:szCs w:val="19"/>
              </w:rPr>
              <w:t xml:space="preserve">Visit AIforRealCompanies.com for the full book and resource kit.</w:t>
            </w:r>
          </w:p>
          <w:p>
            <w:pPr>
              <w:spacing w:after="0" w:before="60"/>
            </w:pPr>
            <w:r>
              <w:rPr>
                <w:rFonts w:ascii="Arial" w:cs="Arial" w:eastAsia="Arial" w:hAnsi="Arial"/>
                <w:b w:val="false"/>
                <w:bCs w:val="false"/>
                <w:i/>
                <w:iCs/>
                <w:color w:val="1A2744"/>
                <w:sz w:val="19"/>
                <w:szCs w:val="19"/>
              </w:rPr>
              <w:t xml:space="preserve">Explore advisory programs, cohorts, and keynotes at aibusinessadvisoryinstitute.net.</w:t>
            </w:r>
          </w:p>
        </w:tc>
      </w:tr>
    </w:tbl>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jc w:val="center"/>
    </w:pPr>
    <w:r>
      <w:rPr>
        <w:rFonts w:ascii="Arial" w:cs="Arial" w:eastAsia="Arial" w:hAnsi="Arial"/>
        <w:b w:val="false"/>
        <w:bCs w:val="false"/>
        <w:i w:val="false"/>
        <w:iCs w:val="false"/>
        <w:color w:val="888888"/>
        <w:sz w:val="17"/>
        <w:szCs w:val="17"/>
      </w:rPr>
      <w:t xml:space="preserve">AI Risk &amp; Reality Checklist  |  Deb Weidenhamer  |  AIforRealCompanies.com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abstractNum w:abstractNumId="3"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A2744"/>
      <w:sz w:val="34"/>
      <w:szCs w:val="34"/>
    </w:rPr>
  </w:style>
  <w:style w:type="paragraph" w:styleId="Heading2">
    <w:name w:val="Heading 2"/>
    <w:basedOn w:val="Normal"/>
    <w:next w:val="Normal"/>
    <w:qFormat/>
    <w:pPr>
      <w:spacing w:after="80" w:before="200"/>
      <w:outlineLvl w:val="1"/>
    </w:pPr>
    <w:rPr>
      <w:rFonts w:ascii="Arial" w:cs="Arial" w:eastAsia="Arial" w:hAnsi="Arial"/>
      <w:b/>
      <w:bCs/>
      <w:color w:val="6B3FA0"/>
      <w:sz w:val="26"/>
      <w:szCs w:val="26"/>
    </w:rPr>
  </w:style>
  <w:style w:type="paragraph" w:styleId="Heading3">
    <w:name w:val="Heading 3"/>
    <w:basedOn w:val="Normal"/>
    <w:next w:val="Normal"/>
    <w:qFormat/>
    <w:pPr>
      <w:spacing w:after="60" w:before="160"/>
      <w:outlineLvl w:val="2"/>
    </w:pPr>
    <w:rPr>
      <w:rFonts w:ascii="Arial" w:cs="Arial" w:eastAsia="Arial" w:hAnsi="Arial"/>
      <w:b/>
      <w:bCs/>
      <w:color w:val="1A27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2026-04-20T01:08:07.196Z</dcterms:created>
  <dcterms:modified xsi:type="dcterms:W3CDTF">2026-04-20T01:08:07.196Z</dcterms:modified>
</cp:coreProperties>
</file>

<file path=docProps/custom.xml><?xml version="1.0" encoding="utf-8"?>
<Properties xmlns="http://schemas.openxmlformats.org/officeDocument/2006/custom-properties" xmlns:vt="http://schemas.openxmlformats.org/officeDocument/2006/docPropsVTypes"/>
</file>